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588" w:rsidRPr="00763772" w:rsidRDefault="00063588">
      <w:pPr>
        <w:pBdr>
          <w:top w:val="nil"/>
          <w:left w:val="nil"/>
          <w:bottom w:val="nil"/>
          <w:right w:val="nil"/>
          <w:between w:val="nil"/>
        </w:pBdr>
        <w:ind w:left="2346"/>
        <w:rPr>
          <w:color w:val="FF0000"/>
        </w:rPr>
      </w:pPr>
      <w:bookmarkStart w:id="0" w:name="_gjdgxs" w:colFirst="0" w:colLast="0"/>
      <w:bookmarkEnd w:id="0"/>
    </w:p>
    <w:p w:rsidR="00063588" w:rsidRPr="00763772" w:rsidRDefault="00B219C7">
      <w:pPr>
        <w:pStyle w:val="Heading1"/>
        <w:tabs>
          <w:tab w:val="left" w:pos="5859"/>
        </w:tabs>
        <w:ind w:left="0"/>
        <w:rPr>
          <w:sz w:val="22"/>
          <w:szCs w:val="22"/>
        </w:rPr>
      </w:pPr>
      <w:r w:rsidRPr="00763772">
        <w:rPr>
          <w:sz w:val="22"/>
          <w:szCs w:val="22"/>
        </w:rPr>
        <w:t>March 9, 2021</w:t>
      </w:r>
      <w:r w:rsidRPr="00763772">
        <w:rPr>
          <w:sz w:val="22"/>
          <w:szCs w:val="22"/>
        </w:rPr>
        <w:tab/>
      </w:r>
      <w:r w:rsidRPr="00763772">
        <w:rPr>
          <w:sz w:val="22"/>
          <w:szCs w:val="22"/>
        </w:rPr>
        <w:t xml:space="preserve">Contact: </w:t>
      </w:r>
      <w:r w:rsidR="00763772" w:rsidRPr="00763772">
        <w:rPr>
          <w:sz w:val="22"/>
          <w:szCs w:val="22"/>
        </w:rPr>
        <w:t>Robyn Truslow</w:t>
      </w:r>
    </w:p>
    <w:p w:rsidR="00063588" w:rsidRPr="00763772" w:rsidRDefault="00B219C7">
      <w:pPr>
        <w:pStyle w:val="Heading1"/>
        <w:tabs>
          <w:tab w:val="left" w:pos="5859"/>
        </w:tabs>
        <w:ind w:left="0"/>
        <w:rPr>
          <w:sz w:val="22"/>
          <w:szCs w:val="22"/>
        </w:rPr>
      </w:pPr>
      <w:r w:rsidRPr="00763772">
        <w:rPr>
          <w:sz w:val="22"/>
          <w:szCs w:val="22"/>
        </w:rPr>
        <w:tab/>
      </w:r>
      <w:r w:rsidRPr="00763772">
        <w:rPr>
          <w:sz w:val="22"/>
          <w:szCs w:val="22"/>
        </w:rPr>
        <w:t>(</w:t>
      </w:r>
      <w:r w:rsidR="00763772" w:rsidRPr="00763772">
        <w:rPr>
          <w:sz w:val="22"/>
          <w:szCs w:val="22"/>
        </w:rPr>
        <w:t>410) 535-0291 x 802</w:t>
      </w:r>
    </w:p>
    <w:p w:rsidR="00063588" w:rsidRPr="00763772" w:rsidRDefault="00B219C7">
      <w:pPr>
        <w:tabs>
          <w:tab w:val="left" w:pos="5859"/>
        </w:tabs>
        <w:rPr>
          <w:b/>
        </w:rPr>
      </w:pPr>
      <w:r w:rsidRPr="00763772">
        <w:rPr>
          <w:b/>
        </w:rPr>
        <w:t>FOR IMMEDIATE RELEASE</w:t>
      </w:r>
      <w:r w:rsidRPr="00763772">
        <w:rPr>
          <w:b/>
        </w:rPr>
        <w:tab/>
      </w:r>
      <w:r w:rsidR="00763772" w:rsidRPr="00763772">
        <w:rPr>
          <w:b/>
          <w:u w:val="single"/>
        </w:rPr>
        <w:t>rtruslow@calvertlibrary.info</w:t>
      </w:r>
    </w:p>
    <w:p w:rsidR="00063588" w:rsidRDefault="00063588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063588" w:rsidRDefault="00B219C7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 xml:space="preserve">Maryland Libraries Together Series Presents April Special Virtual </w:t>
      </w:r>
      <w:bookmarkStart w:id="1" w:name="_GoBack"/>
      <w:bookmarkEnd w:id="1"/>
      <w:r>
        <w:rPr>
          <w:b/>
        </w:rPr>
        <w:t>Events</w:t>
      </w:r>
    </w:p>
    <w:p w:rsidR="00063588" w:rsidRDefault="00B219C7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COVID-19 Vaccines &amp; Latin Identity</w:t>
      </w:r>
    </w:p>
    <w:p w:rsidR="00063588" w:rsidRDefault="00063588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063588" w:rsidRDefault="00B219C7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222222"/>
          <w:highlight w:val="white"/>
        </w:rPr>
      </w:pPr>
      <w:r>
        <w:t>Maryland’s public libraries have a</w:t>
      </w:r>
      <w:r>
        <w:t xml:space="preserve"> strong commitment to creating opportunities for community members to come together and develop cross-cultural understanding about topics that impact daily life. The Maryland Libraries Together series </w:t>
      </w:r>
      <w:r>
        <w:rPr>
          <w:color w:val="222222"/>
          <w:highlight w:val="white"/>
        </w:rPr>
        <w:t>returns on April 1 with two major statewide virtual eve</w:t>
      </w:r>
      <w:r>
        <w:rPr>
          <w:color w:val="222222"/>
          <w:highlight w:val="white"/>
        </w:rPr>
        <w:t xml:space="preserve">nts that explore the COVID-19 vaccine and Latin identity. Maryland Libraries Together is </w:t>
      </w:r>
      <w:r>
        <w:t xml:space="preserve">a </w:t>
      </w:r>
      <w:proofErr w:type="gramStart"/>
      <w:r>
        <w:t>collaboration</w:t>
      </w:r>
      <w:proofErr w:type="gramEnd"/>
      <w:r>
        <w:t xml:space="preserve"> to engage communities in enriching educational experiences that advance an understanding of the issues of our time. </w:t>
      </w:r>
      <w:r>
        <w:rPr>
          <w:color w:val="222222"/>
          <w:highlight w:val="white"/>
        </w:rPr>
        <w:t>These events are hosted by individu</w:t>
      </w:r>
      <w:r>
        <w:rPr>
          <w:color w:val="222222"/>
          <w:highlight w:val="white"/>
        </w:rPr>
        <w:t>al public library systems and made available to all Marylanders through the Maryland Libraries Together series.</w:t>
      </w:r>
    </w:p>
    <w:p w:rsidR="00063588" w:rsidRDefault="0006358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222222"/>
          <w:highlight w:val="white"/>
        </w:rPr>
      </w:pPr>
    </w:p>
    <w:p w:rsidR="00063588" w:rsidRDefault="00B219C7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COVID-19 and Vaccine Information Session (April 1 at 5-6:30 pm ET)</w:t>
      </w:r>
    </w:p>
    <w:p w:rsidR="00063588" w:rsidRDefault="00B219C7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The Enoch Pratt Free Library </w:t>
      </w:r>
      <w:r w:rsidR="00935B33">
        <w:rPr>
          <w:color w:val="222222"/>
          <w:highlight w:val="white"/>
        </w:rPr>
        <w:t xml:space="preserve">has coordinated </w:t>
      </w:r>
      <w:r>
        <w:rPr>
          <w:color w:val="222222"/>
          <w:highlight w:val="white"/>
        </w:rPr>
        <w:t xml:space="preserve">a timely discussion of the COVID-19 vaccine with </w:t>
      </w:r>
      <w:r w:rsidR="00935B33">
        <w:rPr>
          <w:color w:val="222222"/>
          <w:highlight w:val="white"/>
        </w:rPr>
        <w:t>c</w:t>
      </w:r>
      <w:r>
        <w:rPr>
          <w:color w:val="222222"/>
          <w:highlight w:val="white"/>
        </w:rPr>
        <w:t>linicians, researchers, vaccine recipients, and other health professionals discuss vaccine access, vaccine hesitancy, recent pandemics, and virus va</w:t>
      </w:r>
      <w:r>
        <w:rPr>
          <w:color w:val="222222"/>
          <w:highlight w:val="white"/>
        </w:rPr>
        <w:t>riants. The program features:</w:t>
      </w:r>
    </w:p>
    <w:p w:rsidR="00063588" w:rsidRDefault="00B219C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33333"/>
          <w:highlight w:val="white"/>
        </w:rPr>
      </w:pPr>
      <w:r>
        <w:rPr>
          <w:b/>
          <w:color w:val="333333"/>
          <w:highlight w:val="white"/>
        </w:rPr>
        <w:t xml:space="preserve">Dr. </w:t>
      </w:r>
      <w:proofErr w:type="spellStart"/>
      <w:r>
        <w:rPr>
          <w:b/>
          <w:color w:val="333333"/>
          <w:highlight w:val="white"/>
        </w:rPr>
        <w:t>Sherita</w:t>
      </w:r>
      <w:proofErr w:type="spellEnd"/>
      <w:r>
        <w:rPr>
          <w:b/>
          <w:color w:val="333333"/>
          <w:highlight w:val="white"/>
        </w:rPr>
        <w:t xml:space="preserve"> Hill Golden</w:t>
      </w:r>
      <w:r>
        <w:rPr>
          <w:color w:val="333333"/>
          <w:highlight w:val="white"/>
        </w:rPr>
        <w:t>, the Hugh P. McCormick Family Professor of Endocrinology and Metabolism and Vice President and Chief Diversity Officer for Johns Hopkins Medicine</w:t>
      </w:r>
    </w:p>
    <w:p w:rsidR="00063588" w:rsidRDefault="00B219C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33333"/>
          <w:highlight w:val="white"/>
        </w:rPr>
      </w:pPr>
      <w:r>
        <w:rPr>
          <w:b/>
          <w:color w:val="333333"/>
          <w:highlight w:val="white"/>
        </w:rPr>
        <w:t>Dr. Tracey Murray</w:t>
      </w:r>
      <w:r>
        <w:rPr>
          <w:color w:val="333333"/>
          <w:highlight w:val="white"/>
        </w:rPr>
        <w:t>, Dean of the College of Health Professions at Coppin State University</w:t>
      </w:r>
    </w:p>
    <w:p w:rsidR="00063588" w:rsidRDefault="00B219C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33333"/>
          <w:highlight w:val="white"/>
        </w:rPr>
      </w:pPr>
      <w:r>
        <w:rPr>
          <w:b/>
          <w:color w:val="333333"/>
          <w:highlight w:val="white"/>
        </w:rPr>
        <w:t>Dr. Kim Sydnor</w:t>
      </w:r>
      <w:r>
        <w:rPr>
          <w:color w:val="333333"/>
          <w:highlight w:val="white"/>
        </w:rPr>
        <w:t>, Dean of the School of Community Health and Policy at Morgan State University and serves as Associate Professor for the Department of Behavioral Health Sciences</w:t>
      </w:r>
    </w:p>
    <w:p w:rsidR="00063588" w:rsidRDefault="00B219C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33333"/>
          <w:highlight w:val="white"/>
        </w:rPr>
      </w:pPr>
      <w:r>
        <w:rPr>
          <w:b/>
          <w:color w:val="333333"/>
          <w:highlight w:val="white"/>
        </w:rPr>
        <w:t xml:space="preserve">Dr. </w:t>
      </w:r>
      <w:proofErr w:type="spellStart"/>
      <w:r>
        <w:rPr>
          <w:b/>
          <w:color w:val="333333"/>
          <w:highlight w:val="white"/>
        </w:rPr>
        <w:t>Kawsa</w:t>
      </w:r>
      <w:r>
        <w:rPr>
          <w:b/>
          <w:color w:val="333333"/>
          <w:highlight w:val="white"/>
        </w:rPr>
        <w:t>r</w:t>
      </w:r>
      <w:proofErr w:type="spellEnd"/>
      <w:r>
        <w:rPr>
          <w:b/>
          <w:color w:val="333333"/>
          <w:highlight w:val="white"/>
        </w:rPr>
        <w:t xml:space="preserve"> </w:t>
      </w:r>
      <w:proofErr w:type="spellStart"/>
      <w:r>
        <w:rPr>
          <w:b/>
          <w:color w:val="333333"/>
          <w:highlight w:val="white"/>
        </w:rPr>
        <w:t>Rasmy</w:t>
      </w:r>
      <w:proofErr w:type="spellEnd"/>
      <w:r>
        <w:rPr>
          <w:b/>
          <w:color w:val="333333"/>
          <w:highlight w:val="white"/>
        </w:rPr>
        <w:t xml:space="preserve"> </w:t>
      </w:r>
      <w:proofErr w:type="spellStart"/>
      <w:r>
        <w:rPr>
          <w:b/>
          <w:color w:val="333333"/>
          <w:highlight w:val="white"/>
        </w:rPr>
        <w:t>Talaat</w:t>
      </w:r>
      <w:proofErr w:type="spellEnd"/>
      <w:r>
        <w:rPr>
          <w:color w:val="333333"/>
          <w:highlight w:val="white"/>
        </w:rPr>
        <w:t>, Assistant Professor in the Johns Hopkins School of Public Health. She holds a joint appointment in medicine at the Johns Hopkins University School of Medicine. Her areas of clinical expertise include vaccine clinical trials and vaccine safe</w:t>
      </w:r>
      <w:r>
        <w:rPr>
          <w:color w:val="333333"/>
          <w:highlight w:val="white"/>
        </w:rPr>
        <w:t>ty.</w:t>
      </w:r>
    </w:p>
    <w:p w:rsidR="00063588" w:rsidRDefault="00B219C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33333"/>
          <w:highlight w:val="white"/>
        </w:rPr>
      </w:pPr>
      <w:r>
        <w:rPr>
          <w:b/>
          <w:color w:val="333333"/>
          <w:highlight w:val="white"/>
        </w:rPr>
        <w:t xml:space="preserve">Dr. Jonathan Mark </w:t>
      </w:r>
      <w:proofErr w:type="spellStart"/>
      <w:r>
        <w:rPr>
          <w:b/>
          <w:color w:val="333333"/>
          <w:highlight w:val="white"/>
        </w:rPr>
        <w:t>Zenilman</w:t>
      </w:r>
      <w:proofErr w:type="spellEnd"/>
      <w:r>
        <w:rPr>
          <w:color w:val="333333"/>
          <w:highlight w:val="white"/>
        </w:rPr>
        <w:t xml:space="preserve">, professor of medicine at the Johns Hopkins University School of Medicine. He is known internationally for his work in infectious disease epidemiology. </w:t>
      </w:r>
    </w:p>
    <w:p w:rsidR="00063588" w:rsidRDefault="0006358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p w:rsidR="00063588" w:rsidRDefault="00935B33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  <w:r>
        <w:rPr>
          <w:color w:val="333333"/>
          <w:highlight w:val="white"/>
        </w:rPr>
        <w:t>This event is f</w:t>
      </w:r>
      <w:r w:rsidR="00B219C7">
        <w:rPr>
          <w:color w:val="333333"/>
          <w:highlight w:val="white"/>
        </w:rPr>
        <w:t>ree and open to the public via Zoom and Facebook</w:t>
      </w:r>
      <w:r w:rsidR="00B219C7">
        <w:rPr>
          <w:color w:val="333333"/>
          <w:highlight w:val="white"/>
        </w:rPr>
        <w:t>.</w:t>
      </w:r>
      <w:r>
        <w:rPr>
          <w:color w:val="333333"/>
          <w:highlight w:val="white"/>
        </w:rPr>
        <w:t xml:space="preserve">  See more details on the Calvert Library calendar at calvertlibrary.info or Enoch Pratt Free Library website.</w:t>
      </w:r>
    </w:p>
    <w:p w:rsidR="00063588" w:rsidRDefault="0006358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222222"/>
          <w:highlight w:val="white"/>
        </w:rPr>
      </w:pPr>
    </w:p>
    <w:p w:rsidR="00063588" w:rsidRDefault="00B219C7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Viva Latino: Own Voices Writers in</w:t>
      </w:r>
      <w:r>
        <w:rPr>
          <w:b/>
          <w:color w:val="222222"/>
          <w:highlight w:val="white"/>
        </w:rPr>
        <w:t xml:space="preserve"> Conversation (April 1 at 7-8:30 pm ET)</w:t>
      </w:r>
    </w:p>
    <w:p w:rsidR="00063588" w:rsidRDefault="00B219C7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222222"/>
          <w:highlight w:val="white"/>
        </w:rPr>
      </w:pPr>
      <w:r>
        <w:rPr>
          <w:color w:val="222222"/>
          <w:highlight w:val="white"/>
        </w:rPr>
        <w:t>Leading and award-winning contemporary Latin American writers gather to discuss their perspectives on the importance of own voices narratives in providing representation for readers. This program offers Latino/a/x an</w:t>
      </w:r>
      <w:r>
        <w:rPr>
          <w:color w:val="222222"/>
          <w:highlight w:val="white"/>
        </w:rPr>
        <w:t xml:space="preserve">d non-Latin Marylanders with an opportunity to learn about the diversity of the Latin American community, as represented in literature and poetry. The panel is presented by the </w:t>
      </w:r>
      <w:hyperlink r:id="rId7">
        <w:r>
          <w:rPr>
            <w:color w:val="1155CC"/>
            <w:highlight w:val="white"/>
            <w:u w:val="single"/>
          </w:rPr>
          <w:t xml:space="preserve">Prince George’s County Memorial Library </w:t>
        </w:r>
        <w:r>
          <w:rPr>
            <w:color w:val="1155CC"/>
            <w:highlight w:val="white"/>
            <w:u w:val="single"/>
          </w:rPr>
          <w:t>System</w:t>
        </w:r>
      </w:hyperlink>
      <w:r>
        <w:rPr>
          <w:color w:val="222222"/>
          <w:highlight w:val="white"/>
        </w:rPr>
        <w:t xml:space="preserve"> (PGCMLS), </w:t>
      </w:r>
      <w:hyperlink r:id="rId8">
        <w:r>
          <w:rPr>
            <w:color w:val="1155CC"/>
            <w:highlight w:val="white"/>
            <w:u w:val="single"/>
          </w:rPr>
          <w:t>Frederick County Public Libraries</w:t>
        </w:r>
      </w:hyperlink>
      <w:r>
        <w:rPr>
          <w:color w:val="222222"/>
          <w:highlight w:val="white"/>
        </w:rPr>
        <w:t xml:space="preserve"> (FCPL), and </w:t>
      </w:r>
      <w:hyperlink r:id="rId9">
        <w:r>
          <w:rPr>
            <w:color w:val="1155CC"/>
            <w:highlight w:val="white"/>
            <w:u w:val="single"/>
          </w:rPr>
          <w:t>Charles County Public Library</w:t>
        </w:r>
      </w:hyperlink>
      <w:r>
        <w:rPr>
          <w:color w:val="222222"/>
          <w:highlight w:val="white"/>
        </w:rPr>
        <w:t xml:space="preserve"> (CCPL). </w:t>
      </w:r>
      <w:r>
        <w:rPr>
          <w:highlight w:val="white"/>
        </w:rPr>
        <w:t xml:space="preserve">This program is supported in part by the Institute of Museum and </w:t>
      </w:r>
      <w:r>
        <w:rPr>
          <w:highlight w:val="white"/>
        </w:rPr>
        <w:lastRenderedPageBreak/>
        <w:t>Li</w:t>
      </w:r>
      <w:r>
        <w:rPr>
          <w:highlight w:val="white"/>
        </w:rPr>
        <w:t>brary Services, through the Library Services and Technology Act, administered by the Maryland State Library.</w:t>
      </w:r>
      <w:r>
        <w:rPr>
          <w:color w:val="222222"/>
          <w:highlight w:val="white"/>
        </w:rPr>
        <w:br/>
      </w:r>
      <w:r>
        <w:rPr>
          <w:color w:val="222222"/>
          <w:highlight w:val="white"/>
        </w:rPr>
        <w:br/>
        <w:t>Featured panelists are:</w:t>
      </w:r>
    </w:p>
    <w:p w:rsidR="00063588" w:rsidRDefault="00B219C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highlight w:val="white"/>
        </w:rPr>
      </w:pPr>
      <w:r>
        <w:rPr>
          <w:b/>
          <w:color w:val="222222"/>
          <w:highlight w:val="white"/>
        </w:rPr>
        <w:t>Julia Alvarez</w:t>
      </w:r>
      <w:r>
        <w:rPr>
          <w:color w:val="222222"/>
          <w:highlight w:val="white"/>
        </w:rPr>
        <w:t>, National Medal of Arts Winner (“Afterlife,” 2020)</w:t>
      </w:r>
    </w:p>
    <w:p w:rsidR="00063588" w:rsidRDefault="00B219C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highlight w:val="white"/>
        </w:rPr>
      </w:pPr>
      <w:r>
        <w:rPr>
          <w:b/>
          <w:color w:val="222222"/>
          <w:highlight w:val="white"/>
        </w:rPr>
        <w:t>Angie Cruz</w:t>
      </w:r>
      <w:r>
        <w:rPr>
          <w:color w:val="222222"/>
          <w:highlight w:val="white"/>
        </w:rPr>
        <w:t>, Inaugural Good Morning America Book Club Author (“</w:t>
      </w:r>
      <w:proofErr w:type="spellStart"/>
      <w:r>
        <w:rPr>
          <w:color w:val="222222"/>
          <w:highlight w:val="white"/>
        </w:rPr>
        <w:t>Dominicana</w:t>
      </w:r>
      <w:proofErr w:type="spellEnd"/>
      <w:r>
        <w:rPr>
          <w:color w:val="222222"/>
          <w:highlight w:val="white"/>
        </w:rPr>
        <w:t>,” 2018)</w:t>
      </w:r>
    </w:p>
    <w:p w:rsidR="00063588" w:rsidRDefault="00B219C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highlight w:val="white"/>
        </w:rPr>
      </w:pPr>
      <w:r>
        <w:rPr>
          <w:b/>
          <w:color w:val="222222"/>
          <w:highlight w:val="white"/>
        </w:rPr>
        <w:t>Reyna Grande</w:t>
      </w:r>
      <w:r>
        <w:rPr>
          <w:color w:val="222222"/>
          <w:highlight w:val="white"/>
        </w:rPr>
        <w:t>, American Book Award Winner (“A Dream Called Home,” 2019)</w:t>
      </w:r>
    </w:p>
    <w:p w:rsidR="00063588" w:rsidRDefault="00B219C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highlight w:val="white"/>
        </w:rPr>
      </w:pPr>
      <w:r>
        <w:rPr>
          <w:b/>
          <w:color w:val="222222"/>
          <w:highlight w:val="white"/>
        </w:rPr>
        <w:t>Juan Felipe Herrera</w:t>
      </w:r>
      <w:r>
        <w:rPr>
          <w:color w:val="222222"/>
          <w:highlight w:val="white"/>
        </w:rPr>
        <w:t>, U.S. Poet Laureate (2015-2017) (“</w:t>
      </w:r>
      <w:proofErr w:type="spellStart"/>
      <w:r>
        <w:rPr>
          <w:color w:val="222222"/>
          <w:highlight w:val="white"/>
        </w:rPr>
        <w:t>Jabberwalking</w:t>
      </w:r>
      <w:proofErr w:type="spellEnd"/>
      <w:r>
        <w:rPr>
          <w:color w:val="222222"/>
          <w:highlight w:val="white"/>
        </w:rPr>
        <w:t>,” 2018)</w:t>
      </w:r>
    </w:p>
    <w:p w:rsidR="00063588" w:rsidRDefault="00B219C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22222"/>
          <w:highlight w:val="white"/>
        </w:rPr>
      </w:pPr>
      <w:r>
        <w:rPr>
          <w:b/>
          <w:color w:val="222222"/>
          <w:highlight w:val="white"/>
        </w:rPr>
        <w:t>Lupita Aquino</w:t>
      </w:r>
      <w:r>
        <w:rPr>
          <w:color w:val="222222"/>
          <w:highlight w:val="white"/>
        </w:rPr>
        <w:t>, Moderator, @</w:t>
      </w:r>
      <w:proofErr w:type="spellStart"/>
      <w:r>
        <w:rPr>
          <w:color w:val="222222"/>
          <w:highlight w:val="white"/>
        </w:rPr>
        <w:t>Lupita.Reads</w:t>
      </w:r>
      <w:proofErr w:type="spellEnd"/>
      <w:r>
        <w:rPr>
          <w:color w:val="222222"/>
          <w:highlight w:val="white"/>
        </w:rPr>
        <w:t xml:space="preserve"> </w:t>
      </w:r>
      <w:proofErr w:type="spellStart"/>
      <w:r>
        <w:rPr>
          <w:color w:val="222222"/>
          <w:highlight w:val="white"/>
        </w:rPr>
        <w:t>Bookstagram</w:t>
      </w:r>
      <w:proofErr w:type="spellEnd"/>
    </w:p>
    <w:p w:rsidR="00063588" w:rsidRDefault="0006358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222222"/>
          <w:highlight w:val="white"/>
        </w:rPr>
      </w:pPr>
    </w:p>
    <w:p w:rsidR="00063588" w:rsidRDefault="00B219C7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  <w:r>
        <w:rPr>
          <w:color w:val="222222"/>
          <w:highlight w:val="white"/>
        </w:rPr>
        <w:t xml:space="preserve">Registration is required for this event, which will be broadcast on the Prince George’s County Memorial Library System’s </w:t>
      </w:r>
      <w:hyperlink r:id="rId10">
        <w:r>
          <w:rPr>
            <w:color w:val="1155CC"/>
            <w:highlight w:val="white"/>
            <w:u w:val="single"/>
          </w:rPr>
          <w:t>YouTube</w:t>
        </w:r>
      </w:hyperlink>
      <w:r>
        <w:rPr>
          <w:color w:val="222222"/>
          <w:highlight w:val="white"/>
        </w:rPr>
        <w:t xml:space="preserve"> and </w:t>
      </w:r>
      <w:hyperlink r:id="rId11">
        <w:r>
          <w:rPr>
            <w:color w:val="1155CC"/>
            <w:highlight w:val="white"/>
            <w:u w:val="single"/>
          </w:rPr>
          <w:t>Facebook</w:t>
        </w:r>
      </w:hyperlink>
      <w:r>
        <w:rPr>
          <w:color w:val="222222"/>
          <w:highlight w:val="white"/>
        </w:rPr>
        <w:t xml:space="preserve">. Visit </w:t>
      </w:r>
      <w:hyperlink r:id="rId12">
        <w:r>
          <w:rPr>
            <w:color w:val="1155CC"/>
            <w:highlight w:val="white"/>
            <w:u w:val="single"/>
          </w:rPr>
          <w:t>MDLibraries0401.eventbrite.com</w:t>
        </w:r>
      </w:hyperlink>
      <w:r>
        <w:rPr>
          <w:color w:val="222222"/>
          <w:highlight w:val="white"/>
        </w:rPr>
        <w:t xml:space="preserve"> for more information. The event will be presented in English. ASL interpretation and captions will be provided. Viewers can</w:t>
      </w:r>
      <w:r>
        <w:rPr>
          <w:color w:val="222222"/>
          <w:highlight w:val="white"/>
        </w:rPr>
        <w:t xml:space="preserve"> obtain copies of the panelists’ books through Loyalty Bookstores or Curious Iguana. </w:t>
      </w:r>
      <w:r>
        <w:rPr>
          <w:color w:val="333333"/>
          <w:highlight w:val="white"/>
        </w:rPr>
        <w:t>Free and open to the public.</w:t>
      </w:r>
    </w:p>
    <w:p w:rsidR="00063588" w:rsidRDefault="0006358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333333"/>
          <w:highlight w:val="white"/>
        </w:rPr>
      </w:pPr>
    </w:p>
    <w:p w:rsidR="00063588" w:rsidRDefault="00B219C7">
      <w:pPr>
        <w:widowControl/>
        <w:rPr>
          <w:color w:val="333333"/>
          <w:highlight w:val="white"/>
        </w:rPr>
      </w:pPr>
      <w:hyperlink r:id="rId13">
        <w:r>
          <w:rPr>
            <w:color w:val="1155CC"/>
            <w:highlight w:val="white"/>
            <w:u w:val="single"/>
          </w:rPr>
          <w:t>Graphics Folde</w:t>
        </w:r>
        <w:r>
          <w:rPr>
            <w:color w:val="1155CC"/>
            <w:highlight w:val="white"/>
            <w:u w:val="single"/>
          </w:rPr>
          <w:t>r</w:t>
        </w:r>
      </w:hyperlink>
    </w:p>
    <w:p w:rsidR="00063588" w:rsidRDefault="00063588">
      <w:pPr>
        <w:pBdr>
          <w:top w:val="nil"/>
          <w:left w:val="nil"/>
          <w:bottom w:val="nil"/>
          <w:right w:val="nil"/>
          <w:between w:val="nil"/>
        </w:pBdr>
        <w:spacing w:before="11"/>
      </w:pPr>
    </w:p>
    <w:p w:rsidR="00063588" w:rsidRDefault="00B219C7">
      <w:pPr>
        <w:pBdr>
          <w:top w:val="nil"/>
          <w:left w:val="nil"/>
          <w:bottom w:val="nil"/>
          <w:right w:val="nil"/>
          <w:between w:val="nil"/>
        </w:pBdr>
        <w:spacing w:before="11"/>
        <w:jc w:val="center"/>
      </w:pPr>
      <w:r>
        <w:t>###</w:t>
      </w:r>
    </w:p>
    <w:sectPr w:rsidR="00063588">
      <w:headerReference w:type="default" r:id="rId14"/>
      <w:headerReference w:type="first" r:id="rId15"/>
      <w:pgSz w:w="12240" w:h="15840"/>
      <w:pgMar w:top="18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219C7">
      <w:r>
        <w:separator/>
      </w:r>
    </w:p>
  </w:endnote>
  <w:endnote w:type="continuationSeparator" w:id="0">
    <w:p w:rsidR="00000000" w:rsidRDefault="00B2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219C7">
      <w:r>
        <w:separator/>
      </w:r>
    </w:p>
  </w:footnote>
  <w:footnote w:type="continuationSeparator" w:id="0">
    <w:p w:rsidR="00000000" w:rsidRDefault="00B21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588" w:rsidRDefault="000635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  <w:p w:rsidR="00063588" w:rsidRDefault="000635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588" w:rsidRDefault="00B219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438150</wp:posOffset>
          </wp:positionH>
          <wp:positionV relativeFrom="paragraph">
            <wp:posOffset>-161924</wp:posOffset>
          </wp:positionV>
          <wp:extent cx="2242834" cy="1033463"/>
          <wp:effectExtent l="0" t="0" r="0" b="0"/>
          <wp:wrapSquare wrapText="bothSides" distT="114300" distB="114300" distL="114300" distR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2834" cy="10334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63772">
      <w:rPr>
        <w:noProof/>
      </w:rPr>
      <w:drawing>
        <wp:inline distT="0" distB="0" distL="0" distR="0">
          <wp:extent cx="1758805" cy="7683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lvertLib2017PurpleTealLogowBottom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633" cy="770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63588" w:rsidRDefault="00063588" w:rsidP="007637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  <w:p w:rsidR="00063588" w:rsidRDefault="000635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57B6"/>
    <w:multiLevelType w:val="multilevel"/>
    <w:tmpl w:val="522CEF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EF142F3"/>
    <w:multiLevelType w:val="multilevel"/>
    <w:tmpl w:val="4B543D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588"/>
    <w:rsid w:val="00063588"/>
    <w:rsid w:val="00763772"/>
    <w:rsid w:val="00935B33"/>
    <w:rsid w:val="00B2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B8CBD"/>
  <w15:docId w15:val="{CA377E3C-B96B-4EEC-AEC6-BED62D8D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ind w:left="100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637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772"/>
  </w:style>
  <w:style w:type="paragraph" w:styleId="Footer">
    <w:name w:val="footer"/>
    <w:basedOn w:val="Normal"/>
    <w:link w:val="FooterChar"/>
    <w:uiPriority w:val="99"/>
    <w:unhideWhenUsed/>
    <w:rsid w:val="007637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cpl.org/" TargetMode="External"/><Relationship Id="rId13" Type="http://schemas.openxmlformats.org/officeDocument/2006/relationships/hyperlink" Target="https://drive.google.com/drive/folders/1eWgjdHU04HniHeXiwKdQgxL2-BiOtQ_f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gcmls.info" TargetMode="External"/><Relationship Id="rId12" Type="http://schemas.openxmlformats.org/officeDocument/2006/relationships/hyperlink" Target="https://mdlibraries0401.eventbrite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acebook.com/PGCML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youtube.com/watch?v=vrAOobao1d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cplonline.org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Truslow</dc:creator>
  <cp:lastModifiedBy>Robyn Truslow</cp:lastModifiedBy>
  <cp:revision>3</cp:revision>
  <dcterms:created xsi:type="dcterms:W3CDTF">2021-03-10T01:48:00Z</dcterms:created>
  <dcterms:modified xsi:type="dcterms:W3CDTF">2021-03-10T01:50:00Z</dcterms:modified>
</cp:coreProperties>
</file>